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35922B48" w:rsidR="00EE357B" w:rsidRPr="00EE357B" w:rsidRDefault="008D7A7A"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Pr>
                                <w:rFonts w:ascii="Calibri" w:eastAsia="Times New Roman" w:hAnsi="Calibri"/>
                                <w:b/>
                                <w:kern w:val="28"/>
                                <w:sz w:val="44"/>
                                <w:szCs w:val="20"/>
                              </w:rPr>
                              <w:t xml:space="preserve">Use of </w:t>
                            </w:r>
                            <w:r w:rsidRPr="00D94FA1">
                              <w:rPr>
                                <w:rFonts w:ascii="Calibri" w:eastAsia="Times New Roman" w:hAnsi="Calibri"/>
                                <w:b/>
                                <w:kern w:val="28"/>
                                <w:sz w:val="44"/>
                                <w:szCs w:val="20"/>
                              </w:rPr>
                              <w:t>Batik Wax Pot</w:t>
                            </w:r>
                            <w:r w:rsidR="00EE357B" w:rsidRPr="00EE357B">
                              <w:rPr>
                                <w:rFonts w:ascii="Calibri" w:eastAsia="Times New Roman" w:hAnsi="Calibri" w:cs="Times New Roman"/>
                                <w:b/>
                                <w:kern w:val="28"/>
                                <w:sz w:val="44"/>
                                <w:szCs w:val="20"/>
                              </w:rPr>
                              <w:t xml:space="preserve"> -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35922B48" w:rsidR="00EE357B" w:rsidRPr="00EE357B" w:rsidRDefault="008D7A7A"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1" w:name="_Hlk165548211"/>
                      <w:r>
                        <w:rPr>
                          <w:rFonts w:ascii="Calibri" w:eastAsia="Times New Roman" w:hAnsi="Calibri"/>
                          <w:b/>
                          <w:kern w:val="28"/>
                          <w:sz w:val="44"/>
                          <w:szCs w:val="20"/>
                        </w:rPr>
                        <w:t xml:space="preserve">Use of </w:t>
                      </w:r>
                      <w:r w:rsidRPr="00D94FA1">
                        <w:rPr>
                          <w:rFonts w:ascii="Calibri" w:eastAsia="Times New Roman" w:hAnsi="Calibri"/>
                          <w:b/>
                          <w:kern w:val="28"/>
                          <w:sz w:val="44"/>
                          <w:szCs w:val="20"/>
                        </w:rPr>
                        <w:t>Batik Wax Pot</w:t>
                      </w:r>
                      <w:r w:rsidR="00EE357B" w:rsidRPr="00EE357B">
                        <w:rPr>
                          <w:rFonts w:ascii="Calibri" w:eastAsia="Times New Roman" w:hAnsi="Calibri" w:cs="Times New Roman"/>
                          <w:b/>
                          <w:kern w:val="28"/>
                          <w:sz w:val="44"/>
                          <w:szCs w:val="20"/>
                        </w:rPr>
                        <w:t xml:space="preserve"> - risk assessment</w:t>
                      </w:r>
                    </w:p>
                    <w:bookmarkEnd w:id="1"/>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7A863886" w:rsidR="00EE357B" w:rsidRDefault="00EE357B" w:rsidP="00EE357B">
      <w:pPr>
        <w:pStyle w:val="Picturestyle"/>
      </w:pPr>
      <w:r>
        <w:t xml:space="preserve">You will find guidance on using </w:t>
      </w:r>
      <w:r w:rsidR="008D7A7A">
        <w:t>a</w:t>
      </w:r>
      <w:r w:rsidR="008D7A7A" w:rsidRPr="008D7A7A">
        <w:t xml:space="preserve"> Batik Wax Pot</w:t>
      </w:r>
      <w:r>
        <w:t xml:space="preserve"> in Primary </w:t>
      </w:r>
      <w:r>
        <w:t>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Points to consider when using this resource</w:t>
      </w:r>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2F16DC32" w:rsidR="00EE357B" w:rsidRPr="00EE357B" w:rsidRDefault="008D7A7A" w:rsidP="00EE357B">
      <w:pPr>
        <w:spacing w:after="0" w:line="240" w:lineRule="auto"/>
        <w:rPr>
          <w:rFonts w:ascii="Arial" w:eastAsia="Calibri" w:hAnsi="Arial" w:cs="Arial"/>
          <w:b/>
          <w:color w:val="0088CE"/>
          <w:sz w:val="56"/>
          <w:szCs w:val="56"/>
        </w:rPr>
      </w:pPr>
      <w:r w:rsidRPr="008D7A7A">
        <w:rPr>
          <w:rFonts w:ascii="Arial" w:eastAsia="Calibri" w:hAnsi="Arial" w:cs="Arial"/>
          <w:b/>
          <w:color w:val="0088CE"/>
          <w:sz w:val="56"/>
          <w:szCs w:val="56"/>
        </w:rPr>
        <w:lastRenderedPageBreak/>
        <w:t>Use of Batik Wax Pot</w:t>
      </w:r>
      <w:r w:rsidR="00EE357B" w:rsidRPr="00EE357B">
        <w:rPr>
          <w:rFonts w:ascii="Arial" w:eastAsia="Calibri" w:hAnsi="Arial" w:cs="Arial"/>
          <w:b/>
          <w:color w:val="0088CE"/>
          <w:sz w:val="56"/>
          <w:szCs w:val="56"/>
        </w:rPr>
        <w:t xml:space="preserve">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F548D" w:rsidRPr="00EF548D" w14:paraId="20F24840" w14:textId="77777777" w:rsidTr="00B51873">
        <w:tc>
          <w:tcPr>
            <w:tcW w:w="9242" w:type="dxa"/>
            <w:shd w:val="clear" w:color="auto" w:fill="auto"/>
          </w:tcPr>
          <w:p w14:paraId="2EAEAA39" w14:textId="5E3EA84C"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sidRPr="00EF548D">
              <w:rPr>
                <w:rFonts w:ascii="Arial" w:eastAsia="Calibri" w:hAnsi="Arial" w:cs="Times New Roman"/>
                <w:b/>
                <w:bCs/>
                <w:noProof/>
                <w:sz w:val="32"/>
                <w:szCs w:val="32"/>
              </w:rPr>
              <w:drawing>
                <wp:anchor distT="0" distB="0" distL="114300" distR="114300" simplePos="0" relativeHeight="251668480" behindDoc="0" locked="0" layoutInCell="1" allowOverlap="1" wp14:anchorId="507835A4" wp14:editId="49690DAE">
                  <wp:simplePos x="0" y="0"/>
                  <wp:positionH relativeFrom="column">
                    <wp:posOffset>3879850</wp:posOffset>
                  </wp:positionH>
                  <wp:positionV relativeFrom="paragraph">
                    <wp:posOffset>37465</wp:posOffset>
                  </wp:positionV>
                  <wp:extent cx="1858010" cy="1731010"/>
                  <wp:effectExtent l="0" t="0" r="8890" b="2540"/>
                  <wp:wrapSquare wrapText="bothSides"/>
                  <wp:docPr id="1634174730" name="Picture 2"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74730" name="Picture 2" descr="A close-up of a devi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8010" cy="1731010"/>
                          </a:xfrm>
                          <a:prstGeom prst="rect">
                            <a:avLst/>
                          </a:prstGeom>
                          <a:noFill/>
                        </pic:spPr>
                      </pic:pic>
                    </a:graphicData>
                  </a:graphic>
                  <wp14:sizeRelH relativeFrom="page">
                    <wp14:pctWidth>0</wp14:pctWidth>
                  </wp14:sizeRelH>
                  <wp14:sizeRelV relativeFrom="page">
                    <wp14:pctHeight>0</wp14:pctHeight>
                  </wp14:sizeRelV>
                </wp:anchor>
              </w:drawing>
            </w:r>
            <w:r w:rsidRPr="00EF548D">
              <w:rPr>
                <w:rFonts w:ascii="Arial" w:eastAsia="Calibri" w:hAnsi="Arial" w:cs="Times New Roman"/>
                <w:b/>
                <w:bCs/>
                <w:sz w:val="32"/>
                <w:szCs w:val="32"/>
              </w:rPr>
              <w:t>Batik Wax Pot</w:t>
            </w:r>
          </w:p>
          <w:p w14:paraId="7DC517C8"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0D2E5403"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4559B06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1CD18443"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2CCBC932"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p>
        </w:tc>
      </w:tr>
      <w:tr w:rsidR="00EF548D" w:rsidRPr="00EF548D" w14:paraId="3957BBF2" w14:textId="77777777" w:rsidTr="00B51873">
        <w:tc>
          <w:tcPr>
            <w:tcW w:w="9242" w:type="dxa"/>
            <w:shd w:val="clear" w:color="auto" w:fill="B4C6E7"/>
          </w:tcPr>
          <w:p w14:paraId="09CA84DD"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lang w:eastAsia="en-GB"/>
              </w:rPr>
              <w:t>Please sign in the appropriate space to confirm your knowledge and understanding of the hazards and the risk control measures that should be applied when using Batik Wax Pot.</w:t>
            </w:r>
          </w:p>
        </w:tc>
      </w:tr>
      <w:tr w:rsidR="00EF548D" w:rsidRPr="00EF548D" w14:paraId="16349A4E" w14:textId="77777777" w:rsidTr="00B51873">
        <w:tc>
          <w:tcPr>
            <w:tcW w:w="9242" w:type="dxa"/>
            <w:shd w:val="clear" w:color="auto" w:fill="B4C6E7"/>
          </w:tcPr>
          <w:p w14:paraId="75D20C73"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bookmarkStart w:id="2" w:name="_Hlk89960150"/>
            <w:r w:rsidRPr="00EF548D">
              <w:rPr>
                <w:rFonts w:ascii="Arial" w:eastAsia="Calibri" w:hAnsi="Arial" w:cs="Times New Roman"/>
                <w:b/>
                <w:bCs/>
                <w:sz w:val="24"/>
                <w:szCs w:val="24"/>
              </w:rPr>
              <w:t>Activity</w:t>
            </w:r>
          </w:p>
        </w:tc>
      </w:tr>
      <w:tr w:rsidR="00EF548D" w:rsidRPr="00EF548D" w14:paraId="269BD5B9" w14:textId="77777777" w:rsidTr="00B51873">
        <w:tc>
          <w:tcPr>
            <w:tcW w:w="9242" w:type="dxa"/>
            <w:shd w:val="clear" w:color="auto" w:fill="auto"/>
          </w:tcPr>
          <w:p w14:paraId="7B1065FE"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F548D">
              <w:rPr>
                <w:rFonts w:ascii="Arial" w:eastAsia="Calibri" w:hAnsi="Arial" w:cs="Times New Roman"/>
                <w:sz w:val="24"/>
                <w:szCs w:val="24"/>
                <w:lang w:eastAsia="en-GB"/>
              </w:rPr>
              <w:t>USE OF THE BATIK WAX POT</w:t>
            </w:r>
          </w:p>
          <w:p w14:paraId="3F25C24D"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color w:val="FF0000"/>
                <w:sz w:val="24"/>
                <w:szCs w:val="24"/>
                <w:lang w:eastAsia="en-GB"/>
              </w:rPr>
            </w:pPr>
            <w:r w:rsidRPr="00EF548D">
              <w:rPr>
                <w:rFonts w:ascii="Arial" w:eastAsia="Calibri" w:hAnsi="Arial" w:cs="Times New Roman"/>
                <w:color w:val="FF0000"/>
                <w:sz w:val="24"/>
                <w:szCs w:val="24"/>
                <w:lang w:eastAsia="en-GB"/>
              </w:rPr>
              <w:t>NB: ONLY RESPONSIBLE KEY STAGE 2 PUPILS SHOULD USE BATIK WAX POTS UNDER DIRECT ADULT SUPERVISION.</w:t>
            </w:r>
          </w:p>
        </w:tc>
      </w:tr>
      <w:tr w:rsidR="00EF548D" w:rsidRPr="00EF548D" w14:paraId="417398FF" w14:textId="77777777" w:rsidTr="00B51873">
        <w:tc>
          <w:tcPr>
            <w:tcW w:w="9242" w:type="dxa"/>
            <w:shd w:val="clear" w:color="auto" w:fill="B4C6E7"/>
          </w:tcPr>
          <w:p w14:paraId="4362D434"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F548D">
              <w:rPr>
                <w:rFonts w:ascii="Arial" w:eastAsia="Calibri" w:hAnsi="Arial" w:cs="Times New Roman"/>
                <w:b/>
                <w:bCs/>
                <w:sz w:val="24"/>
                <w:szCs w:val="24"/>
                <w:lang w:eastAsia="en-GB"/>
              </w:rPr>
              <w:t>Hazards</w:t>
            </w:r>
          </w:p>
        </w:tc>
      </w:tr>
      <w:tr w:rsidR="00EF548D" w:rsidRPr="00EF548D" w14:paraId="3F57D212" w14:textId="77777777" w:rsidTr="00B51873">
        <w:tc>
          <w:tcPr>
            <w:tcW w:w="9242" w:type="dxa"/>
            <w:shd w:val="clear" w:color="auto" w:fill="auto"/>
          </w:tcPr>
          <w:p w14:paraId="0AC13AC4"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Electric shock.</w:t>
            </w:r>
          </w:p>
          <w:p w14:paraId="31F839A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Leads, which could be tripped over.</w:t>
            </w:r>
          </w:p>
          <w:p w14:paraId="1AC8D4AD"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Hot liquids and surfaces, which can cause scalding or burns.</w:t>
            </w:r>
          </w:p>
          <w:p w14:paraId="2593A0E1"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xml:space="preserve">• Overheating of the wax pot, which can be caused by incorrect use. </w:t>
            </w:r>
          </w:p>
          <w:p w14:paraId="2B8F9BC6"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Fumes from wax pots.</w:t>
            </w:r>
          </w:p>
        </w:tc>
      </w:tr>
      <w:tr w:rsidR="00EF548D" w:rsidRPr="00EF548D" w14:paraId="7FF4287B" w14:textId="77777777" w:rsidTr="00B51873">
        <w:tc>
          <w:tcPr>
            <w:tcW w:w="9242" w:type="dxa"/>
            <w:shd w:val="clear" w:color="auto" w:fill="B4C6E7"/>
          </w:tcPr>
          <w:p w14:paraId="2722DFE5"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F548D">
              <w:rPr>
                <w:rFonts w:ascii="Arial" w:eastAsia="Calibri" w:hAnsi="Arial" w:cs="Times New Roman"/>
                <w:b/>
                <w:bCs/>
                <w:sz w:val="24"/>
                <w:szCs w:val="24"/>
                <w:lang w:eastAsia="en-GB"/>
              </w:rPr>
              <w:t>Additional Hazards Identified</w:t>
            </w:r>
          </w:p>
        </w:tc>
      </w:tr>
      <w:tr w:rsidR="00EF548D" w:rsidRPr="00EF548D" w14:paraId="463D5B8B" w14:textId="77777777" w:rsidTr="00B51873">
        <w:tc>
          <w:tcPr>
            <w:tcW w:w="9242" w:type="dxa"/>
            <w:shd w:val="clear" w:color="auto" w:fill="auto"/>
          </w:tcPr>
          <w:p w14:paraId="54C20426"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225FD3F"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767132C0"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6FB4D9EC"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8191B6A"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EF548D" w:rsidRPr="00EF548D" w14:paraId="4CF2C482" w14:textId="77777777" w:rsidTr="00B51873">
        <w:tc>
          <w:tcPr>
            <w:tcW w:w="9242" w:type="dxa"/>
            <w:shd w:val="clear" w:color="auto" w:fill="B4C6E7"/>
          </w:tcPr>
          <w:p w14:paraId="3AEDB984"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F548D">
              <w:rPr>
                <w:rFonts w:ascii="Arial" w:eastAsia="Calibri" w:hAnsi="Arial" w:cs="Times New Roman"/>
                <w:b/>
                <w:bCs/>
                <w:sz w:val="24"/>
                <w:szCs w:val="24"/>
                <w:lang w:eastAsia="en-GB"/>
              </w:rPr>
              <w:t>Risk Control Measures</w:t>
            </w:r>
          </w:p>
        </w:tc>
      </w:tr>
      <w:tr w:rsidR="00EF548D" w:rsidRPr="00EF548D" w14:paraId="37662D2C" w14:textId="77777777" w:rsidTr="00B51873">
        <w:tc>
          <w:tcPr>
            <w:tcW w:w="9242" w:type="dxa"/>
            <w:shd w:val="clear" w:color="auto" w:fill="auto"/>
          </w:tcPr>
          <w:p w14:paraId="18699AFA"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Instruction should be given on the correct use of batik wax pots.</w:t>
            </w:r>
          </w:p>
          <w:p w14:paraId="266B23F1"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Supply leads for wax pots should be heat resisting.</w:t>
            </w:r>
          </w:p>
          <w:p w14:paraId="774E9416"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lastRenderedPageBreak/>
              <w:t>• Care should be taken that trailing leads do not become entangled with the user or others in the vicinity.</w:t>
            </w:r>
          </w:p>
          <w:p w14:paraId="1C941165"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Batik work should be carried out where distractions to the user can be minimised. Siting of the wax pot on a table adjacent to wall and electrical socket should help prevent accidental splashing on to others and tripping over the power lead.</w:t>
            </w:r>
          </w:p>
          <w:p w14:paraId="776C1DD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Appropriate personal protection should be worn, i.e. small cotton gloves, apron, and eye protection. Check Local Authority/Employer guidelines on PPE required.</w:t>
            </w:r>
          </w:p>
          <w:p w14:paraId="09C1AC42"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Correct use of wooden handled wax reservoirs should minimize the risk of burns when putting wax onto fabric.</w:t>
            </w:r>
          </w:p>
          <w:p w14:paraId="65FA09DC"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Check that the materials being used are suitable for heating in the type of heater used.</w:t>
            </w:r>
          </w:p>
          <w:p w14:paraId="44592B5E"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xml:space="preserve">• Do not allow water to get into the hot wax. </w:t>
            </w:r>
          </w:p>
          <w:p w14:paraId="2BE184F3"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Ensure that adequate ventilation is available in the area.</w:t>
            </w:r>
          </w:p>
          <w:p w14:paraId="05B622EA"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rPr>
              <w:t>• Batik wax pots must be tested in accordance with the establishments’ policy on Portable Appliance Testing (PAT).</w:t>
            </w:r>
          </w:p>
        </w:tc>
      </w:tr>
      <w:tr w:rsidR="00EF548D" w:rsidRPr="00EF548D" w14:paraId="51F11ACD" w14:textId="77777777" w:rsidTr="00B51873">
        <w:tc>
          <w:tcPr>
            <w:tcW w:w="9242" w:type="dxa"/>
            <w:shd w:val="clear" w:color="auto" w:fill="B4C6E7"/>
          </w:tcPr>
          <w:p w14:paraId="65DFB35E"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F548D">
              <w:rPr>
                <w:rFonts w:ascii="Arial" w:eastAsia="Calibri" w:hAnsi="Arial" w:cs="Times New Roman"/>
                <w:b/>
                <w:bCs/>
                <w:sz w:val="24"/>
                <w:szCs w:val="24"/>
                <w:lang w:eastAsia="en-GB"/>
              </w:rPr>
              <w:lastRenderedPageBreak/>
              <w:t>Additional Control Measures Identified</w:t>
            </w:r>
          </w:p>
        </w:tc>
      </w:tr>
      <w:tr w:rsidR="00EF548D" w:rsidRPr="00EF548D" w14:paraId="319BFA42" w14:textId="77777777" w:rsidTr="00B51873">
        <w:tc>
          <w:tcPr>
            <w:tcW w:w="9242" w:type="dxa"/>
            <w:shd w:val="clear" w:color="auto" w:fill="auto"/>
          </w:tcPr>
          <w:p w14:paraId="299E1BC4"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F548D">
              <w:rPr>
                <w:rFonts w:ascii="Arial" w:eastAsia="Calibri" w:hAnsi="Arial" w:cs="Times New Roman"/>
                <w:b/>
                <w:bCs/>
                <w:sz w:val="24"/>
                <w:szCs w:val="24"/>
                <w:lang w:eastAsia="en-GB"/>
              </w:rPr>
              <w:t xml:space="preserve">(If you have identified additional </w:t>
            </w:r>
            <w:proofErr w:type="gramStart"/>
            <w:r w:rsidRPr="00EF548D">
              <w:rPr>
                <w:rFonts w:ascii="Arial" w:eastAsia="Calibri" w:hAnsi="Arial" w:cs="Times New Roman"/>
                <w:b/>
                <w:bCs/>
                <w:sz w:val="24"/>
                <w:szCs w:val="24"/>
                <w:lang w:eastAsia="en-GB"/>
              </w:rPr>
              <w:t>hazards</w:t>
            </w:r>
            <w:proofErr w:type="gramEnd"/>
            <w:r w:rsidRPr="00EF548D">
              <w:rPr>
                <w:rFonts w:ascii="Arial" w:eastAsia="Calibri" w:hAnsi="Arial" w:cs="Times New Roman"/>
                <w:b/>
                <w:bCs/>
                <w:sz w:val="24"/>
                <w:szCs w:val="24"/>
                <w:lang w:eastAsia="en-GB"/>
              </w:rPr>
              <w:t xml:space="preserve"> you must describe what additional control measures need to be put in place)</w:t>
            </w:r>
          </w:p>
        </w:tc>
      </w:tr>
      <w:tr w:rsidR="00EF548D" w:rsidRPr="00EF548D" w14:paraId="6FDFE0A0" w14:textId="77777777" w:rsidTr="00B51873">
        <w:tc>
          <w:tcPr>
            <w:tcW w:w="9242" w:type="dxa"/>
            <w:shd w:val="clear" w:color="auto" w:fill="B4C6E7"/>
          </w:tcPr>
          <w:p w14:paraId="47DC777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F548D">
              <w:rPr>
                <w:rFonts w:ascii="Arial" w:eastAsia="Calibri" w:hAnsi="Arial" w:cs="Times New Roman"/>
                <w:b/>
                <w:bCs/>
                <w:sz w:val="24"/>
                <w:szCs w:val="24"/>
                <w:lang w:eastAsia="en-GB"/>
              </w:rPr>
              <w:t>All relevant staff have been made fully aware of the contents of this risk assessment</w:t>
            </w:r>
          </w:p>
        </w:tc>
      </w:tr>
      <w:tr w:rsidR="00EF548D" w:rsidRPr="00EF548D" w14:paraId="2323405F" w14:textId="77777777" w:rsidTr="00B51873">
        <w:tc>
          <w:tcPr>
            <w:tcW w:w="9242" w:type="dxa"/>
            <w:shd w:val="clear" w:color="auto" w:fill="auto"/>
          </w:tcPr>
          <w:p w14:paraId="7AB95681"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F548D">
              <w:rPr>
                <w:rFonts w:ascii="Arial" w:eastAsia="Calibri" w:hAnsi="Arial" w:cs="Times New Roman"/>
                <w:sz w:val="24"/>
                <w:szCs w:val="24"/>
                <w:lang w:eastAsia="en-GB"/>
              </w:rPr>
              <w:t xml:space="preserve">Date of Risk Assessment: </w:t>
            </w:r>
          </w:p>
          <w:p w14:paraId="333880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19B1647B"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F548D">
              <w:rPr>
                <w:rFonts w:ascii="Arial" w:eastAsia="Calibri" w:hAnsi="Arial" w:cs="Times New Roman"/>
                <w:sz w:val="24"/>
                <w:szCs w:val="24"/>
                <w:lang w:eastAsia="en-GB"/>
              </w:rPr>
              <w:t>Date of Review:</w:t>
            </w:r>
          </w:p>
          <w:p w14:paraId="456884C5"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55BA5B5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F548D">
              <w:rPr>
                <w:rFonts w:ascii="Arial" w:eastAsia="Calibri" w:hAnsi="Arial" w:cs="Times New Roman"/>
                <w:sz w:val="24"/>
                <w:szCs w:val="24"/>
                <w:lang w:eastAsia="en-GB"/>
              </w:rPr>
              <w:t xml:space="preserve">Name(s) of Assessor(s): </w:t>
            </w:r>
          </w:p>
          <w:p w14:paraId="694F40BE"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F548D">
              <w:rPr>
                <w:rFonts w:ascii="Arial" w:eastAsia="Calibri" w:hAnsi="Arial" w:cs="Times New Roman"/>
                <w:sz w:val="24"/>
                <w:szCs w:val="24"/>
                <w:lang w:eastAsia="en-GB"/>
              </w:rPr>
              <w:t xml:space="preserve"> </w:t>
            </w:r>
          </w:p>
          <w:p w14:paraId="2073A9F1"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F548D">
              <w:rPr>
                <w:rFonts w:ascii="Arial" w:eastAsia="Calibri" w:hAnsi="Arial" w:cs="Times New Roman"/>
                <w:sz w:val="24"/>
                <w:szCs w:val="24"/>
                <w:lang w:eastAsia="en-GB"/>
              </w:rPr>
              <w:t xml:space="preserve">Signature of Subject Leader/Coordinator: </w:t>
            </w:r>
          </w:p>
          <w:p w14:paraId="104B5221"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349A6BB8"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F548D">
              <w:rPr>
                <w:rFonts w:ascii="Arial" w:eastAsia="Calibri" w:hAnsi="Arial" w:cs="Times New Roman"/>
                <w:sz w:val="24"/>
                <w:szCs w:val="24"/>
                <w:lang w:eastAsia="en-GB"/>
              </w:rPr>
              <w:t xml:space="preserve">Signature of Headteacher: </w:t>
            </w:r>
          </w:p>
        </w:tc>
      </w:tr>
      <w:bookmarkEnd w:id="2"/>
    </w:tbl>
    <w:p w14:paraId="1A693DC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273B6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381F6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EF548D" w:rsidP="00414976">
      <w:pPr>
        <w:tabs>
          <w:tab w:val="center" w:pos="4513"/>
          <w:tab w:val="right" w:pos="9026"/>
        </w:tabs>
        <w:spacing w:after="0" w:line="240" w:lineRule="auto"/>
        <w:rPr>
          <w:rFonts w:ascii="Arial" w:eastAsia="Times New Roman" w:hAnsi="Arial" w:cs="Arial"/>
          <w:sz w:val="24"/>
          <w:szCs w:val="24"/>
        </w:rPr>
      </w:pPr>
      <w:hyperlink r:id="rId13"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up-to-date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4"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sz w:val="24"/>
          <w:szCs w:val="24"/>
        </w:rPr>
      </w:pPr>
      <w:hyperlink r:id="rId24"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EF548D" w:rsidP="00414976">
      <w:pPr>
        <w:numPr>
          <w:ilvl w:val="0"/>
          <w:numId w:val="2"/>
        </w:numPr>
        <w:tabs>
          <w:tab w:val="center" w:pos="4513"/>
          <w:tab w:val="right" w:pos="9026"/>
        </w:tabs>
        <w:spacing w:after="0" w:line="240" w:lineRule="auto"/>
        <w:rPr>
          <w:rFonts w:ascii="Arial" w:eastAsia="Calibri" w:hAnsi="Arial" w:cs="Arial"/>
          <w:sz w:val="24"/>
          <w:szCs w:val="24"/>
        </w:rPr>
      </w:pP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Moodle+ subscribers are licenced to access and use this resource and have agreed to pay the annual subscription fee. This authority starts when the fee is paid and ends when the subscription period expired unless it is renewed. This file is for personal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download this resource</w:t>
      </w:r>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save this resource on your computer</w:t>
      </w:r>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print as many copies as you would like to use in your school</w:t>
      </w:r>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claim this resource as your own</w:t>
      </w:r>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sell or in any way profit from this resource</w:t>
      </w:r>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store or distribute this resource on any other website or another location where others are able to electronically retrieve it</w:t>
      </w:r>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9"/>
      <w:headerReference w:type="default" r:id="rId30"/>
      <w:footerReference w:type="even" r:id="rId31"/>
      <w:footerReference w:type="default" r:id="rId32"/>
      <w:headerReference w:type="first" r:id="rId33"/>
      <w:footerReference w:type="first" r:id="rId34"/>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6E42" w14:textId="77777777" w:rsidR="00EF548D" w:rsidRDefault="00EF5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1B23076A" w:rsidR="00EE357B" w:rsidRPr="00EE357B" w:rsidRDefault="008D7A7A" w:rsidP="00EE357B">
        <w:pPr>
          <w:pStyle w:val="Footer"/>
          <w:rPr>
            <w:b/>
            <w:sz w:val="20"/>
            <w:szCs w:val="20"/>
          </w:rPr>
        </w:pPr>
        <w:r w:rsidRPr="008D7A7A">
          <w:rPr>
            <w:b/>
            <w:sz w:val="20"/>
            <w:szCs w:val="20"/>
          </w:rPr>
          <w:t>Use of Batik Wax Pot</w:t>
        </w:r>
        <w:r w:rsidR="00EE357B" w:rsidRPr="00EE357B">
          <w:rPr>
            <w:b/>
            <w:sz w:val="20"/>
            <w:szCs w:val="20"/>
          </w:rPr>
          <w:t xml:space="preserve"> - risk assessment</w:t>
        </w:r>
      </w:p>
      <w:p w14:paraId="2D640F54" w14:textId="40967533" w:rsidR="00BF1F6A" w:rsidRPr="002902F2" w:rsidRDefault="002902F2" w:rsidP="002902F2">
        <w:pPr>
          <w:pStyle w:val="Footer"/>
          <w:rPr>
            <w:rFonts w:ascii="Arial" w:hAnsi="Arial" w:cs="Arial"/>
            <w:b/>
            <w:sz w:val="20"/>
            <w:szCs w:val="20"/>
          </w:rPr>
        </w:pPr>
        <w:r>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3" w:name="_Hlk161661549"/>
                          <w:bookmarkStart w:id="4" w:name="_Hlk161661550"/>
                          <w:r w:rsidRPr="00534C3B">
                            <w:rPr>
                              <w:rFonts w:ascii="Gill Sans MT" w:hAnsi="Gill Sans MT"/>
                              <w:b/>
                              <w:color w:val="1F3244"/>
                              <w:sz w:val="31"/>
                              <w:szCs w:val="31"/>
                            </w:rPr>
                            <w:t>hants.gov.uk</w:t>
                          </w:r>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5" w:name="_Hlk161661549"/>
                    <w:bookmarkStart w:id="6" w:name="_Hlk161661550"/>
                    <w:r w:rsidRPr="00534C3B">
                      <w:rPr>
                        <w:rFonts w:ascii="Gill Sans MT" w:hAnsi="Gill Sans MT"/>
                        <w:b/>
                        <w:color w:val="1F3244"/>
                        <w:sz w:val="31"/>
                        <w:szCs w:val="31"/>
                      </w:rPr>
                      <w:t>hants.gov.uk</w:t>
                    </w:r>
                    <w:bookmarkEnd w:id="5"/>
                    <w:bookmarkEnd w:id="6"/>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EF548D">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68BD" w14:textId="77777777" w:rsidR="00EF548D" w:rsidRDefault="00EF54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44FA3"/>
    <w:rsid w:val="00156A74"/>
    <w:rsid w:val="001D3B89"/>
    <w:rsid w:val="001D40B4"/>
    <w:rsid w:val="0020518B"/>
    <w:rsid w:val="00220C2A"/>
    <w:rsid w:val="002410FD"/>
    <w:rsid w:val="002902F2"/>
    <w:rsid w:val="00354DF4"/>
    <w:rsid w:val="00395086"/>
    <w:rsid w:val="003C21CE"/>
    <w:rsid w:val="00414976"/>
    <w:rsid w:val="0044434F"/>
    <w:rsid w:val="004D038C"/>
    <w:rsid w:val="005021A5"/>
    <w:rsid w:val="0052594C"/>
    <w:rsid w:val="005272BF"/>
    <w:rsid w:val="00576FFA"/>
    <w:rsid w:val="00590976"/>
    <w:rsid w:val="005B3A56"/>
    <w:rsid w:val="0060388C"/>
    <w:rsid w:val="006330D1"/>
    <w:rsid w:val="00635772"/>
    <w:rsid w:val="0067123D"/>
    <w:rsid w:val="00674DF0"/>
    <w:rsid w:val="006A50C7"/>
    <w:rsid w:val="006F410D"/>
    <w:rsid w:val="00722B02"/>
    <w:rsid w:val="007932D4"/>
    <w:rsid w:val="007C6352"/>
    <w:rsid w:val="00833CE2"/>
    <w:rsid w:val="00892295"/>
    <w:rsid w:val="008961BA"/>
    <w:rsid w:val="008D51FA"/>
    <w:rsid w:val="008D7A7A"/>
    <w:rsid w:val="008E59F9"/>
    <w:rsid w:val="00907923"/>
    <w:rsid w:val="00950C72"/>
    <w:rsid w:val="009E4482"/>
    <w:rsid w:val="009F2601"/>
    <w:rsid w:val="00A23BA3"/>
    <w:rsid w:val="00A51261"/>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F546A"/>
    <w:rsid w:val="00EF548D"/>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tlcdev@hants.gov.uk" TargetMode="External"/><Relationship Id="rId18" Type="http://schemas.openxmlformats.org/officeDocument/2006/relationships/hyperlink" Target="https://geography.hias.hants.gov.uk/course/view.php?id=159" TargetMode="External"/><Relationship Id="rId26" Type="http://schemas.openxmlformats.org/officeDocument/2006/relationships/hyperlink" Target="https://hias-moodle.mylearningapp.com/course/view.php?id=82" TargetMode="External"/><Relationship Id="rId3" Type="http://schemas.openxmlformats.org/officeDocument/2006/relationships/customXml" Target="../customXml/item3.xml"/><Relationship Id="rId21" Type="http://schemas.openxmlformats.org/officeDocument/2006/relationships/hyperlink" Target="https://leadership.hias.hants.gov.uk/course/view.php?id=144"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cience.hias.hants.gov.uk/course/view.php?id=155" TargetMode="External"/><Relationship Id="rId25" Type="http://schemas.openxmlformats.org/officeDocument/2006/relationships/hyperlink" Target="https://assessment.hias.hants.gov.uk/course/view.php?id=20"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maths.hias.hants.gov.uk/course/view.php?id=218" TargetMode="External"/><Relationship Id="rId20" Type="http://schemas.openxmlformats.org/officeDocument/2006/relationships/hyperlink" Target="https://history.hias.hants.gov.uk/course/view.php?id=9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ignandtechnology.hias.hants.gov.uk/course/view.php?id=36"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glish.hias.hants.gov.uk/course/view.php?id=740" TargetMode="External"/><Relationship Id="rId23" Type="http://schemas.openxmlformats.org/officeDocument/2006/relationships/hyperlink" Target="https://art.hias.hants.gov.uk/course/view.php?id=35" TargetMode="External"/><Relationship Id="rId28" Type="http://schemas.openxmlformats.org/officeDocument/2006/relationships/hyperlink" Target="https://languages.hias.hants.gov.uk/course/view.php?id=3"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re.hias.hants.gov.uk/course/view.php?id=118"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ias-moodle.mylearningapp.com/mod/page/view.php?id=481" TargetMode="External"/><Relationship Id="rId22" Type="http://schemas.openxmlformats.org/officeDocument/2006/relationships/hyperlink" Target="https://computing.hias.hants.gov.uk/course/view.php?id=43" TargetMode="External"/><Relationship Id="rId27" Type="http://schemas.openxmlformats.org/officeDocument/2006/relationships/hyperlink" Target="https://sen.hias.hants.gov.uk/course/view.php?id=5"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9CB310AC-403D-41F1-98AE-9A48C8913904}">
  <ds:schemaRefs>
    <ds:schemaRef ds:uri="http://schemas.microsoft.com/sharepoint/v3/contenttype/forms"/>
  </ds:schemaRefs>
</ds:datastoreItem>
</file>

<file path=customXml/itemProps3.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4.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2024-05-02T12:24:00Z</dcterms:created>
  <dcterms:modified xsi:type="dcterms:W3CDTF">2024-05-02T12:24:00Z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